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54" w:rsidRDefault="008F2554" w:rsidP="007B56FD">
      <w:pPr>
        <w:spacing w:before="100" w:beforeAutospacing="1" w:after="100" w:afterAutospacing="1" w:line="240" w:lineRule="auto"/>
        <w:jc w:val="center"/>
        <w:rPr>
          <w:rFonts w:ascii="Times New Roman" w:hAnsi="Times New Roman"/>
          <w:b/>
          <w:sz w:val="28"/>
          <w:szCs w:val="28"/>
          <w:lang w:eastAsia="ru-RU"/>
        </w:rPr>
      </w:pPr>
      <w:r w:rsidRPr="007B56FD">
        <w:rPr>
          <w:rFonts w:ascii="Times New Roman" w:hAnsi="Times New Roman"/>
          <w:b/>
          <w:sz w:val="28"/>
          <w:szCs w:val="28"/>
          <w:lang w:eastAsia="ru-RU"/>
        </w:rPr>
        <w:t>О некоторых вопросах обеспечения промышленной безопасности технических устрой</w:t>
      </w:r>
      <w:proofErr w:type="gramStart"/>
      <w:r w:rsidRPr="007B56FD">
        <w:rPr>
          <w:rFonts w:ascii="Times New Roman" w:hAnsi="Times New Roman"/>
          <w:b/>
          <w:sz w:val="28"/>
          <w:szCs w:val="28"/>
          <w:lang w:eastAsia="ru-RU"/>
        </w:rPr>
        <w:t>ств в пр</w:t>
      </w:r>
      <w:proofErr w:type="gramEnd"/>
      <w:r w:rsidRPr="007B56FD">
        <w:rPr>
          <w:rFonts w:ascii="Times New Roman" w:hAnsi="Times New Roman"/>
          <w:b/>
          <w:sz w:val="28"/>
          <w:szCs w:val="28"/>
          <w:lang w:eastAsia="ru-RU"/>
        </w:rPr>
        <w:t>актике применения системы подтверждения соответствия требованиям технических регламентов.</w:t>
      </w:r>
    </w:p>
    <w:p w:rsidR="008F2554" w:rsidRPr="007B56FD" w:rsidRDefault="008F2554" w:rsidP="007B56FD">
      <w:pPr>
        <w:spacing w:before="100" w:beforeAutospacing="1" w:after="100" w:afterAutospacing="1" w:line="240" w:lineRule="auto"/>
        <w:jc w:val="center"/>
        <w:rPr>
          <w:rFonts w:ascii="Times New Roman" w:hAnsi="Times New Roman"/>
          <w:b/>
          <w:sz w:val="24"/>
          <w:szCs w:val="24"/>
          <w:lang w:eastAsia="ru-RU"/>
        </w:rPr>
      </w:pPr>
      <w:r w:rsidRPr="007B56FD">
        <w:rPr>
          <w:rFonts w:ascii="Times New Roman" w:hAnsi="Times New Roman"/>
          <w:b/>
          <w:sz w:val="24"/>
          <w:szCs w:val="24"/>
          <w:lang w:eastAsia="ru-RU"/>
        </w:rPr>
        <w:t xml:space="preserve">Зав. кафедрой Инженерного обеспечения Международной промышленной академии, руководитель Центра экспертизы </w:t>
      </w:r>
      <w:proofErr w:type="spellStart"/>
      <w:r w:rsidRPr="007B56FD">
        <w:rPr>
          <w:rFonts w:ascii="Times New Roman" w:hAnsi="Times New Roman"/>
          <w:b/>
          <w:sz w:val="24"/>
          <w:szCs w:val="24"/>
          <w:lang w:eastAsia="ru-RU"/>
        </w:rPr>
        <w:t>пром</w:t>
      </w:r>
      <w:proofErr w:type="spellEnd"/>
      <w:r w:rsidRPr="007B56FD">
        <w:rPr>
          <w:rFonts w:ascii="Times New Roman" w:hAnsi="Times New Roman"/>
          <w:b/>
          <w:sz w:val="24"/>
          <w:szCs w:val="24"/>
          <w:lang w:eastAsia="ru-RU"/>
        </w:rPr>
        <w:t xml:space="preserve">. </w:t>
      </w:r>
      <w:r>
        <w:rPr>
          <w:rFonts w:ascii="Times New Roman" w:hAnsi="Times New Roman"/>
          <w:b/>
          <w:sz w:val="24"/>
          <w:szCs w:val="24"/>
          <w:lang w:eastAsia="ru-RU"/>
        </w:rPr>
        <w:t>б</w:t>
      </w:r>
      <w:r w:rsidRPr="007B56FD">
        <w:rPr>
          <w:rFonts w:ascii="Times New Roman" w:hAnsi="Times New Roman"/>
          <w:b/>
          <w:sz w:val="24"/>
          <w:szCs w:val="24"/>
          <w:lang w:eastAsia="ru-RU"/>
        </w:rPr>
        <w:t>езопасности и испытательной лаборатории</w:t>
      </w:r>
      <w:r>
        <w:rPr>
          <w:rFonts w:ascii="Times New Roman" w:hAnsi="Times New Roman"/>
          <w:b/>
          <w:sz w:val="24"/>
          <w:szCs w:val="24"/>
          <w:lang w:eastAsia="ru-RU"/>
        </w:rPr>
        <w:t xml:space="preserve">, канд. </w:t>
      </w:r>
      <w:proofErr w:type="spellStart"/>
      <w:r>
        <w:rPr>
          <w:rFonts w:ascii="Times New Roman" w:hAnsi="Times New Roman"/>
          <w:b/>
          <w:sz w:val="24"/>
          <w:szCs w:val="24"/>
          <w:lang w:eastAsia="ru-RU"/>
        </w:rPr>
        <w:t>техн</w:t>
      </w:r>
      <w:proofErr w:type="spellEnd"/>
      <w:r>
        <w:rPr>
          <w:rFonts w:ascii="Times New Roman" w:hAnsi="Times New Roman"/>
          <w:b/>
          <w:sz w:val="24"/>
          <w:szCs w:val="24"/>
          <w:lang w:eastAsia="ru-RU"/>
        </w:rPr>
        <w:t>. наук Титов Александр Васильевич.</w:t>
      </w:r>
    </w:p>
    <w:p w:rsidR="008F2554" w:rsidRPr="00906460" w:rsidRDefault="008F2554" w:rsidP="007B56FD">
      <w:pPr>
        <w:spacing w:line="360" w:lineRule="auto"/>
        <w:jc w:val="both"/>
        <w:rPr>
          <w:rFonts w:ascii="Times New Roman" w:hAnsi="Times New Roman"/>
          <w:sz w:val="24"/>
          <w:szCs w:val="24"/>
          <w:lang w:eastAsia="ru-RU"/>
        </w:rPr>
      </w:pPr>
      <w:r>
        <w:rPr>
          <w:b/>
          <w:sz w:val="24"/>
          <w:szCs w:val="24"/>
        </w:rPr>
        <w:tab/>
      </w:r>
      <w:r w:rsidRPr="00906460">
        <w:rPr>
          <w:rFonts w:ascii="Times New Roman" w:hAnsi="Times New Roman"/>
          <w:sz w:val="24"/>
          <w:szCs w:val="24"/>
          <w:lang w:eastAsia="ru-RU"/>
        </w:rPr>
        <w:t xml:space="preserve">Уважаемые коллеги! Я представляю Международную промышленную академию, в рамках которой созданы и действуют Центр экспертизы промышленной безопасности технических устройств, имеющий лицензию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и независимая испытательная лаборатория, аккредитованная Федеральной службой «</w:t>
      </w:r>
      <w:proofErr w:type="spellStart"/>
      <w:r w:rsidRPr="00906460">
        <w:rPr>
          <w:rFonts w:ascii="Times New Roman" w:hAnsi="Times New Roman"/>
          <w:sz w:val="24"/>
          <w:szCs w:val="24"/>
          <w:lang w:eastAsia="ru-RU"/>
        </w:rPr>
        <w:t>Росаккредитация</w:t>
      </w:r>
      <w:proofErr w:type="spellEnd"/>
      <w:r w:rsidRPr="00906460">
        <w:rPr>
          <w:rFonts w:ascii="Times New Roman" w:hAnsi="Times New Roman"/>
          <w:sz w:val="24"/>
          <w:szCs w:val="24"/>
          <w:lang w:eastAsia="ru-RU"/>
        </w:rPr>
        <w:t xml:space="preserve">» и включенная в Единый реестр органов по сертификации и испытательных лабораторий Таможенного союза. </w:t>
      </w:r>
    </w:p>
    <w:p w:rsidR="008F2554" w:rsidRPr="00906460" w:rsidRDefault="008F2554" w:rsidP="00782FAF">
      <w:pPr>
        <w:spacing w:line="360" w:lineRule="auto"/>
        <w:jc w:val="both"/>
        <w:rPr>
          <w:rFonts w:ascii="Times New Roman" w:hAnsi="Times New Roman"/>
          <w:sz w:val="24"/>
          <w:szCs w:val="24"/>
          <w:lang w:eastAsia="ru-RU"/>
        </w:rPr>
      </w:pPr>
      <w:r w:rsidRPr="00906460">
        <w:rPr>
          <w:rFonts w:ascii="Times New Roman" w:hAnsi="Times New Roman"/>
          <w:sz w:val="24"/>
          <w:szCs w:val="24"/>
          <w:lang w:eastAsia="ru-RU"/>
        </w:rPr>
        <w:tab/>
        <w:t xml:space="preserve">Более 10 лет я занимался экспертизой промышленной безопасности технических устройств, т.е. машин и оборудования (М и О), применяемых на опасных производственных объектах хранения и переработки растительного сырья (в основном - зерна). И не </w:t>
      </w:r>
      <w:proofErr w:type="gramStart"/>
      <w:r w:rsidRPr="00906460">
        <w:rPr>
          <w:rFonts w:ascii="Times New Roman" w:hAnsi="Times New Roman"/>
          <w:sz w:val="24"/>
          <w:szCs w:val="24"/>
          <w:lang w:eastAsia="ru-RU"/>
        </w:rPr>
        <w:t xml:space="preserve">по </w:t>
      </w:r>
      <w:proofErr w:type="spellStart"/>
      <w:r w:rsidRPr="00906460">
        <w:rPr>
          <w:rFonts w:ascii="Times New Roman" w:hAnsi="Times New Roman"/>
          <w:sz w:val="24"/>
          <w:szCs w:val="24"/>
          <w:lang w:eastAsia="ru-RU"/>
        </w:rPr>
        <w:t>наслышке</w:t>
      </w:r>
      <w:proofErr w:type="spellEnd"/>
      <w:proofErr w:type="gramEnd"/>
      <w:r w:rsidRPr="00906460">
        <w:rPr>
          <w:rFonts w:ascii="Times New Roman" w:hAnsi="Times New Roman"/>
          <w:sz w:val="24"/>
          <w:szCs w:val="24"/>
          <w:lang w:eastAsia="ru-RU"/>
        </w:rPr>
        <w:t xml:space="preserve"> знаю, насколько сложной, длительной по времени и дорогостоящей была процедура получения разрешений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на применение технических устройств на ОПО. Поэтому отмену этой процедуры, как формы подтверждения соответствия машин и оборудования</w:t>
      </w:r>
      <w:r w:rsidR="00906460">
        <w:rPr>
          <w:rFonts w:ascii="Times New Roman" w:hAnsi="Times New Roman"/>
          <w:sz w:val="24"/>
          <w:szCs w:val="24"/>
          <w:lang w:eastAsia="ru-RU"/>
        </w:rPr>
        <w:t xml:space="preserve">, </w:t>
      </w:r>
      <w:r w:rsidR="00906460" w:rsidRPr="00906460">
        <w:rPr>
          <w:rFonts w:ascii="Times New Roman" w:hAnsi="Times New Roman"/>
          <w:sz w:val="24"/>
          <w:szCs w:val="24"/>
          <w:lang w:eastAsia="ru-RU"/>
        </w:rPr>
        <w:t>подпадающих под действие технических регламентов</w:t>
      </w:r>
      <w:r w:rsidR="00906460">
        <w:rPr>
          <w:rFonts w:ascii="Times New Roman" w:hAnsi="Times New Roman"/>
          <w:sz w:val="24"/>
          <w:szCs w:val="24"/>
          <w:lang w:eastAsia="ru-RU"/>
        </w:rPr>
        <w:t>,</w:t>
      </w:r>
      <w:r w:rsidRPr="00906460">
        <w:rPr>
          <w:rFonts w:ascii="Times New Roman" w:hAnsi="Times New Roman"/>
          <w:sz w:val="24"/>
          <w:szCs w:val="24"/>
          <w:lang w:eastAsia="ru-RU"/>
        </w:rPr>
        <w:t xml:space="preserve"> требованиям промышленной безопасности, считаю в целом правильной и своевременной. Однако с переходом на новую систему подтверждения соответствия требованиям технических регламентов, вначале Российского, а теперь – Технических регламентов  Таможенного союза, появились некоторые вопросы и проблемы с обеспечением безопасности технических устройств, применяемых на ОПО. Если раньше разрешения на применение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при условии, конечно, добросовестной экспертизы промышленной безопасности, были серьезным барьером для несоответствующего требованиям безопасности оборудования, то теперь  такой барьер зачастую становится очень низким. Дело в том, что при получении разрешений </w:t>
      </w:r>
      <w:r w:rsidR="004E504D" w:rsidRPr="00906460">
        <w:rPr>
          <w:rFonts w:ascii="Times New Roman" w:hAnsi="Times New Roman"/>
          <w:sz w:val="24"/>
          <w:szCs w:val="24"/>
          <w:lang w:eastAsia="ru-RU"/>
        </w:rPr>
        <w:t xml:space="preserve">производилась </w:t>
      </w:r>
      <w:r w:rsidRPr="00906460">
        <w:rPr>
          <w:rFonts w:ascii="Times New Roman" w:hAnsi="Times New Roman"/>
          <w:sz w:val="24"/>
          <w:szCs w:val="24"/>
          <w:lang w:eastAsia="ru-RU"/>
        </w:rPr>
        <w:t xml:space="preserve">проверка соответствия оборудования требованиям Правил промышленной безопасности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которые были для различного вида технических устройств очень подробными, конкретными и обязательными для применения. В технических же регламентах, прежде всего в действующем в настоящее время </w:t>
      </w:r>
      <w:proofErr w:type="gramStart"/>
      <w:r w:rsidRPr="00906460">
        <w:rPr>
          <w:rFonts w:ascii="Times New Roman" w:hAnsi="Times New Roman"/>
          <w:sz w:val="24"/>
          <w:szCs w:val="24"/>
          <w:lang w:eastAsia="ru-RU"/>
        </w:rPr>
        <w:t>ТР</w:t>
      </w:r>
      <w:proofErr w:type="gramEnd"/>
      <w:r w:rsidRPr="00906460">
        <w:rPr>
          <w:rFonts w:ascii="Times New Roman" w:hAnsi="Times New Roman"/>
          <w:sz w:val="24"/>
          <w:szCs w:val="24"/>
          <w:lang w:eastAsia="ru-RU"/>
        </w:rPr>
        <w:t xml:space="preserve"> ТС «О безопасности машин и оборудования», отсутствуют многие конкретные требования безопасности к оборудованию различного типа, подпадающему под действие ТР, а Правила ПБ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где все это есть, не внесены в рекомендуемые для подтверждения </w:t>
      </w:r>
      <w:r w:rsidRPr="00906460">
        <w:rPr>
          <w:rFonts w:ascii="Times New Roman" w:hAnsi="Times New Roman"/>
          <w:sz w:val="24"/>
          <w:szCs w:val="24"/>
          <w:lang w:eastAsia="ru-RU"/>
        </w:rPr>
        <w:lastRenderedPageBreak/>
        <w:t xml:space="preserve">соответствия ТР перечни нормативной документации (там только ГОСТы). К тому же в органах по сертификации отсутствуют квалифицированные, аттестованные в области промышленной безопасности эксперты. А при декларировании, которое у нас носит уведомительный характер, вообще не подразумевается ни проверка содержания заявительной документации, ни подтверждение знания Заявителем требований промышленной безопасности. Поэтому нет гарантии, что при получении сертификата соответствия или после регистрации декларации соответствия оборудование будет полностью соответствовать требованиям промышленной безопасности, в том числе требованиям </w:t>
      </w:r>
      <w:r w:rsidR="004E504D" w:rsidRPr="00906460">
        <w:rPr>
          <w:rFonts w:ascii="Times New Roman" w:hAnsi="Times New Roman"/>
          <w:sz w:val="24"/>
          <w:szCs w:val="24"/>
          <w:lang w:eastAsia="ru-RU"/>
        </w:rPr>
        <w:t>правил</w:t>
      </w:r>
      <w:r w:rsidRPr="00906460">
        <w:rPr>
          <w:rFonts w:ascii="Times New Roman" w:hAnsi="Times New Roman"/>
          <w:sz w:val="24"/>
          <w:szCs w:val="24"/>
          <w:lang w:eastAsia="ru-RU"/>
        </w:rPr>
        <w:t xml:space="preserve"> безопасности (ПБ)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В то же время после поступления оборудования в эксплуатирующую организацию и монтажа на месте применения последует проверка </w:t>
      </w:r>
      <w:proofErr w:type="spellStart"/>
      <w:r w:rsidRPr="00906460">
        <w:rPr>
          <w:rFonts w:ascii="Times New Roman" w:hAnsi="Times New Roman"/>
          <w:sz w:val="24"/>
          <w:szCs w:val="24"/>
          <w:lang w:eastAsia="ru-RU"/>
        </w:rPr>
        <w:t>Ростехнадзором</w:t>
      </w:r>
      <w:proofErr w:type="spellEnd"/>
      <w:r w:rsidRPr="00906460">
        <w:rPr>
          <w:rFonts w:ascii="Times New Roman" w:hAnsi="Times New Roman"/>
          <w:sz w:val="24"/>
          <w:szCs w:val="24"/>
          <w:lang w:eastAsia="ru-RU"/>
        </w:rPr>
        <w:t xml:space="preserve"> на соответствие требованиям промышленной безопасности именно по действующим Правилам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в нашей отрасли - по ПБ 14-586-03. И несоответствия придется устранять до ввода оборудования в эксплуатацию, что может оказаться достаточно трудоемким и дорогостоящим процессом (например, дооснащение оборудования </w:t>
      </w:r>
      <w:proofErr w:type="spellStart"/>
      <w:r w:rsidRPr="00906460">
        <w:rPr>
          <w:rFonts w:ascii="Times New Roman" w:hAnsi="Times New Roman"/>
          <w:sz w:val="24"/>
          <w:szCs w:val="24"/>
          <w:lang w:eastAsia="ru-RU"/>
        </w:rPr>
        <w:t>взрыворазрядными</w:t>
      </w:r>
      <w:proofErr w:type="spellEnd"/>
      <w:r w:rsidRPr="00906460">
        <w:rPr>
          <w:rFonts w:ascii="Times New Roman" w:hAnsi="Times New Roman"/>
          <w:sz w:val="24"/>
          <w:szCs w:val="24"/>
          <w:lang w:eastAsia="ru-RU"/>
        </w:rPr>
        <w:t xml:space="preserve"> и предохранительными устройствами). </w:t>
      </w:r>
    </w:p>
    <w:p w:rsidR="008F2554" w:rsidRPr="00906460" w:rsidRDefault="008F2554" w:rsidP="00782FAF">
      <w:pPr>
        <w:spacing w:line="360" w:lineRule="auto"/>
        <w:jc w:val="both"/>
        <w:rPr>
          <w:rFonts w:ascii="Times New Roman" w:hAnsi="Times New Roman"/>
          <w:sz w:val="24"/>
          <w:szCs w:val="24"/>
          <w:lang w:eastAsia="ru-RU"/>
        </w:rPr>
      </w:pPr>
      <w:r w:rsidRPr="00906460">
        <w:rPr>
          <w:rFonts w:ascii="Times New Roman" w:hAnsi="Times New Roman"/>
          <w:sz w:val="24"/>
          <w:szCs w:val="24"/>
          <w:lang w:eastAsia="ru-RU"/>
        </w:rPr>
        <w:tab/>
        <w:t xml:space="preserve">Приведу один небольшой пример. </w:t>
      </w:r>
      <w:proofErr w:type="gramStart"/>
      <w:r w:rsidRPr="00906460">
        <w:rPr>
          <w:rFonts w:ascii="Times New Roman" w:hAnsi="Times New Roman"/>
          <w:sz w:val="24"/>
          <w:szCs w:val="24"/>
          <w:lang w:eastAsia="ru-RU"/>
        </w:rPr>
        <w:t xml:space="preserve">Применяемые в нашей отрасли вертикальные ленточные конвейеры (нории), в соответствии с требованиями Правил ПБ 14-586-03, должны быть оснащены набором из пяти предохранительных устройств, которые обеспечивают безопасность эксплуатации норий на ОПО (реле контроля скорости, датчик подпора, устройство контроля сбегания ленты, тормозное устройство от обратного хода груженой ленты при внезапной остановке нории и </w:t>
      </w:r>
      <w:proofErr w:type="spellStart"/>
      <w:r w:rsidRPr="00906460">
        <w:rPr>
          <w:rFonts w:ascii="Times New Roman" w:hAnsi="Times New Roman"/>
          <w:sz w:val="24"/>
          <w:szCs w:val="24"/>
          <w:lang w:eastAsia="ru-RU"/>
        </w:rPr>
        <w:t>взрыворазрядные</w:t>
      </w:r>
      <w:proofErr w:type="spellEnd"/>
      <w:r w:rsidRPr="00906460">
        <w:rPr>
          <w:rFonts w:ascii="Times New Roman" w:hAnsi="Times New Roman"/>
          <w:sz w:val="24"/>
          <w:szCs w:val="24"/>
          <w:lang w:eastAsia="ru-RU"/>
        </w:rPr>
        <w:t xml:space="preserve"> устройства).</w:t>
      </w:r>
      <w:proofErr w:type="gramEnd"/>
      <w:r w:rsidRPr="00906460">
        <w:rPr>
          <w:rFonts w:ascii="Times New Roman" w:hAnsi="Times New Roman"/>
          <w:sz w:val="24"/>
          <w:szCs w:val="24"/>
          <w:lang w:eastAsia="ru-RU"/>
        </w:rPr>
        <w:t xml:space="preserve"> Эти требования вырабатывались десятилетиями, на опыте многих поколений, пока не стали обязательными для применения. Но в технических регламентах и в перечнях ГОСТов для подтверждения соответствия </w:t>
      </w:r>
      <w:proofErr w:type="gramStart"/>
      <w:r w:rsidRPr="00906460">
        <w:rPr>
          <w:rFonts w:ascii="Times New Roman" w:hAnsi="Times New Roman"/>
          <w:sz w:val="24"/>
          <w:szCs w:val="24"/>
          <w:lang w:eastAsia="ru-RU"/>
        </w:rPr>
        <w:t>ТР</w:t>
      </w:r>
      <w:proofErr w:type="gramEnd"/>
      <w:r w:rsidRPr="00906460">
        <w:rPr>
          <w:rFonts w:ascii="Times New Roman" w:hAnsi="Times New Roman"/>
          <w:sz w:val="24"/>
          <w:szCs w:val="24"/>
          <w:lang w:eastAsia="ru-RU"/>
        </w:rPr>
        <w:t xml:space="preserve"> этих конкретных требований к нориям нет и при сертификации укомплектованность норий данными предохранительными устройствами практически не проверяется. </w:t>
      </w:r>
      <w:r w:rsidR="0048486A">
        <w:rPr>
          <w:rFonts w:ascii="Times New Roman" w:hAnsi="Times New Roman"/>
          <w:sz w:val="24"/>
          <w:szCs w:val="24"/>
          <w:lang w:eastAsia="ru-RU"/>
        </w:rPr>
        <w:t>В результате</w:t>
      </w:r>
      <w:r w:rsidRPr="00906460">
        <w:rPr>
          <w:rFonts w:ascii="Times New Roman" w:hAnsi="Times New Roman"/>
          <w:sz w:val="24"/>
          <w:szCs w:val="24"/>
          <w:lang w:eastAsia="ru-RU"/>
        </w:rPr>
        <w:t xml:space="preserve"> уже были случаи, когда сертифицированные нории поступают в эксплуатирующие организации, а инспектор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w:t>
      </w:r>
      <w:r w:rsidR="004E504D" w:rsidRPr="00906460">
        <w:rPr>
          <w:rFonts w:ascii="Times New Roman" w:hAnsi="Times New Roman"/>
          <w:sz w:val="24"/>
          <w:szCs w:val="24"/>
          <w:lang w:eastAsia="ru-RU"/>
        </w:rPr>
        <w:t>заявляет, что н</w:t>
      </w:r>
      <w:r w:rsidRPr="00906460">
        <w:rPr>
          <w:rFonts w:ascii="Times New Roman" w:hAnsi="Times New Roman"/>
          <w:sz w:val="24"/>
          <w:szCs w:val="24"/>
          <w:lang w:eastAsia="ru-RU"/>
        </w:rPr>
        <w:t>ории не соответствуют требованиям Пр</w:t>
      </w:r>
      <w:r w:rsidR="004E504D" w:rsidRPr="00906460">
        <w:rPr>
          <w:rFonts w:ascii="Times New Roman" w:hAnsi="Times New Roman"/>
          <w:sz w:val="24"/>
          <w:szCs w:val="24"/>
          <w:lang w:eastAsia="ru-RU"/>
        </w:rPr>
        <w:t xml:space="preserve">авил </w:t>
      </w:r>
      <w:proofErr w:type="spellStart"/>
      <w:r w:rsidR="004E504D" w:rsidRPr="00906460">
        <w:rPr>
          <w:rFonts w:ascii="Times New Roman" w:hAnsi="Times New Roman"/>
          <w:sz w:val="24"/>
          <w:szCs w:val="24"/>
          <w:lang w:eastAsia="ru-RU"/>
        </w:rPr>
        <w:t>Ростехнадзора</w:t>
      </w:r>
      <w:proofErr w:type="spellEnd"/>
      <w:r w:rsidR="004E504D" w:rsidRPr="00906460">
        <w:rPr>
          <w:rFonts w:ascii="Times New Roman" w:hAnsi="Times New Roman"/>
          <w:sz w:val="24"/>
          <w:szCs w:val="24"/>
          <w:lang w:eastAsia="ru-RU"/>
        </w:rPr>
        <w:t xml:space="preserve"> ПБ 14-586-03</w:t>
      </w:r>
      <w:r w:rsidRPr="00906460">
        <w:rPr>
          <w:rFonts w:ascii="Times New Roman" w:hAnsi="Times New Roman"/>
          <w:sz w:val="24"/>
          <w:szCs w:val="24"/>
          <w:lang w:eastAsia="ru-RU"/>
        </w:rPr>
        <w:t>.</w:t>
      </w:r>
    </w:p>
    <w:p w:rsidR="008F2554" w:rsidRPr="00906460" w:rsidRDefault="008F2554" w:rsidP="00214F61">
      <w:pPr>
        <w:spacing w:line="360" w:lineRule="auto"/>
        <w:jc w:val="both"/>
        <w:rPr>
          <w:rFonts w:ascii="Times New Roman" w:hAnsi="Times New Roman"/>
          <w:sz w:val="24"/>
          <w:szCs w:val="24"/>
          <w:lang w:eastAsia="ru-RU"/>
        </w:rPr>
      </w:pPr>
      <w:r w:rsidRPr="00906460">
        <w:rPr>
          <w:rFonts w:ascii="Times New Roman" w:hAnsi="Times New Roman"/>
          <w:sz w:val="24"/>
          <w:szCs w:val="24"/>
          <w:lang w:eastAsia="ru-RU"/>
        </w:rPr>
        <w:tab/>
      </w:r>
      <w:r w:rsidR="0048486A">
        <w:rPr>
          <w:rFonts w:ascii="Times New Roman" w:hAnsi="Times New Roman"/>
          <w:sz w:val="24"/>
          <w:szCs w:val="24"/>
          <w:lang w:eastAsia="ru-RU"/>
        </w:rPr>
        <w:t>Конечно</w:t>
      </w:r>
      <w:r w:rsidRPr="00906460">
        <w:rPr>
          <w:rFonts w:ascii="Times New Roman" w:hAnsi="Times New Roman"/>
          <w:sz w:val="24"/>
          <w:szCs w:val="24"/>
          <w:lang w:eastAsia="ru-RU"/>
        </w:rPr>
        <w:t xml:space="preserve"> в технические регламенты заложена совершенно другая концепция обеспечения безопасности машин и оборудования, основанная не на механическом учете требований правил </w:t>
      </w:r>
      <w:proofErr w:type="spellStart"/>
      <w:r w:rsidRPr="00906460">
        <w:rPr>
          <w:rFonts w:ascii="Times New Roman" w:hAnsi="Times New Roman"/>
          <w:sz w:val="24"/>
          <w:szCs w:val="24"/>
          <w:lang w:eastAsia="ru-RU"/>
        </w:rPr>
        <w:t>пром</w:t>
      </w:r>
      <w:proofErr w:type="gramStart"/>
      <w:r w:rsidRPr="00906460">
        <w:rPr>
          <w:rFonts w:ascii="Times New Roman" w:hAnsi="Times New Roman"/>
          <w:sz w:val="24"/>
          <w:szCs w:val="24"/>
          <w:lang w:eastAsia="ru-RU"/>
        </w:rPr>
        <w:t>.б</w:t>
      </w:r>
      <w:proofErr w:type="gramEnd"/>
      <w:r w:rsidRPr="00906460">
        <w:rPr>
          <w:rFonts w:ascii="Times New Roman" w:hAnsi="Times New Roman"/>
          <w:sz w:val="24"/>
          <w:szCs w:val="24"/>
          <w:lang w:eastAsia="ru-RU"/>
        </w:rPr>
        <w:t>езопасности</w:t>
      </w:r>
      <w:proofErr w:type="spellEnd"/>
      <w:r w:rsidRPr="00906460">
        <w:rPr>
          <w:rFonts w:ascii="Times New Roman" w:hAnsi="Times New Roman"/>
          <w:sz w:val="24"/>
          <w:szCs w:val="24"/>
          <w:lang w:eastAsia="ru-RU"/>
        </w:rPr>
        <w:t xml:space="preserve">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а на анализе и оценке рисков, т.е. сочетания вероятности причинения вреда и последствий этого вреда для жизни или здоровья человека, имущества, окружающей среды и т.д. на всех этапах жизненного цикла машины (от изготовления до утилизации). С этой целью при разработке (проектировании) </w:t>
      </w:r>
      <w:r w:rsidRPr="00906460">
        <w:rPr>
          <w:rFonts w:ascii="Times New Roman" w:hAnsi="Times New Roman"/>
          <w:sz w:val="24"/>
          <w:szCs w:val="24"/>
          <w:lang w:eastAsia="ru-RU"/>
        </w:rPr>
        <w:lastRenderedPageBreak/>
        <w:t xml:space="preserve">машин и оборудования, в соответствии с требованиями </w:t>
      </w:r>
      <w:proofErr w:type="spellStart"/>
      <w:r w:rsidRPr="00906460">
        <w:rPr>
          <w:rFonts w:ascii="Times New Roman" w:hAnsi="Times New Roman"/>
          <w:sz w:val="24"/>
          <w:szCs w:val="24"/>
          <w:lang w:eastAsia="ru-RU"/>
        </w:rPr>
        <w:t>тех</w:t>
      </w:r>
      <w:proofErr w:type="gramStart"/>
      <w:r w:rsidRPr="00906460">
        <w:rPr>
          <w:rFonts w:ascii="Times New Roman" w:hAnsi="Times New Roman"/>
          <w:sz w:val="24"/>
          <w:szCs w:val="24"/>
          <w:lang w:eastAsia="ru-RU"/>
        </w:rPr>
        <w:t>.р</w:t>
      </w:r>
      <w:proofErr w:type="gramEnd"/>
      <w:r w:rsidRPr="00906460">
        <w:rPr>
          <w:rFonts w:ascii="Times New Roman" w:hAnsi="Times New Roman"/>
          <w:sz w:val="24"/>
          <w:szCs w:val="24"/>
          <w:lang w:eastAsia="ru-RU"/>
        </w:rPr>
        <w:t>егламентов</w:t>
      </w:r>
      <w:proofErr w:type="spellEnd"/>
      <w:r w:rsidRPr="00906460">
        <w:rPr>
          <w:rFonts w:ascii="Times New Roman" w:hAnsi="Times New Roman"/>
          <w:sz w:val="24"/>
          <w:szCs w:val="24"/>
          <w:lang w:eastAsia="ru-RU"/>
        </w:rPr>
        <w:t xml:space="preserve">, должно быть разработано "обоснование безопасности" - документ, содержащий анализ риска и устанавливающий допустимый риск для машины или оборудования. В этом же документе должны быть определены меры обеспечения безопасности, соответствующие установленному риску, в том числе предусмотрены необходимые защитные и предохранительные устройства. </w:t>
      </w:r>
    </w:p>
    <w:p w:rsidR="008F2554" w:rsidRPr="00906460" w:rsidRDefault="008F2554" w:rsidP="00214F61">
      <w:pPr>
        <w:spacing w:line="360" w:lineRule="auto"/>
        <w:jc w:val="both"/>
        <w:rPr>
          <w:rFonts w:ascii="Times New Roman" w:hAnsi="Times New Roman"/>
          <w:sz w:val="24"/>
          <w:szCs w:val="24"/>
          <w:lang w:eastAsia="ru-RU"/>
        </w:rPr>
      </w:pPr>
      <w:r w:rsidRPr="00906460">
        <w:rPr>
          <w:rFonts w:ascii="Times New Roman" w:hAnsi="Times New Roman"/>
          <w:sz w:val="24"/>
          <w:szCs w:val="24"/>
          <w:lang w:eastAsia="ru-RU"/>
        </w:rPr>
        <w:tab/>
        <w:t xml:space="preserve">Требование о наличии «Обоснования безопасности» при сертификации и декларировании оборудования присутствовало уже в техническом регламенте РФ «О безопасности машин и оборудования», имеется оно и в аналогичном </w:t>
      </w:r>
      <w:proofErr w:type="gramStart"/>
      <w:r w:rsidRPr="00906460">
        <w:rPr>
          <w:rFonts w:ascii="Times New Roman" w:hAnsi="Times New Roman"/>
          <w:sz w:val="24"/>
          <w:szCs w:val="24"/>
          <w:lang w:eastAsia="ru-RU"/>
        </w:rPr>
        <w:t>ТР</w:t>
      </w:r>
      <w:proofErr w:type="gramEnd"/>
      <w:r w:rsidRPr="00906460">
        <w:rPr>
          <w:rFonts w:ascii="Times New Roman" w:hAnsi="Times New Roman"/>
          <w:sz w:val="24"/>
          <w:szCs w:val="24"/>
          <w:lang w:eastAsia="ru-RU"/>
        </w:rPr>
        <w:t xml:space="preserve"> Таможенного союза, который действует в настоящее время. Но как разработать «Обоснование безопасности» мало кто понимает из разработчиков и изготовителей оборудования, а из четырех обещанных национальных ГОСТов, определяющих требования к обоснованию безопасности и методику оценки рисков, в настоящее время действует только один (ГОСТ </w:t>
      </w:r>
      <w:proofErr w:type="gramStart"/>
      <w:r w:rsidRPr="00906460">
        <w:rPr>
          <w:rFonts w:ascii="Times New Roman" w:hAnsi="Times New Roman"/>
          <w:sz w:val="24"/>
          <w:szCs w:val="24"/>
          <w:lang w:eastAsia="ru-RU"/>
        </w:rPr>
        <w:t>Р</w:t>
      </w:r>
      <w:proofErr w:type="gramEnd"/>
      <w:r w:rsidRPr="00906460">
        <w:rPr>
          <w:rFonts w:ascii="Times New Roman" w:hAnsi="Times New Roman"/>
          <w:sz w:val="24"/>
          <w:szCs w:val="24"/>
          <w:lang w:eastAsia="ru-RU"/>
        </w:rPr>
        <w:t xml:space="preserve"> 54122-2010 «Требования к обоснованию безопасности»).</w:t>
      </w:r>
    </w:p>
    <w:p w:rsidR="008F2554" w:rsidRPr="00906460" w:rsidRDefault="008F2554" w:rsidP="008D7058">
      <w:pPr>
        <w:spacing w:line="360" w:lineRule="auto"/>
        <w:ind w:firstLine="708"/>
        <w:jc w:val="both"/>
        <w:rPr>
          <w:rFonts w:ascii="Times New Roman" w:hAnsi="Times New Roman"/>
          <w:sz w:val="24"/>
          <w:szCs w:val="24"/>
          <w:lang w:eastAsia="ru-RU"/>
        </w:rPr>
      </w:pPr>
      <w:r w:rsidRPr="00906460">
        <w:rPr>
          <w:rFonts w:ascii="Times New Roman" w:hAnsi="Times New Roman"/>
          <w:sz w:val="24"/>
          <w:szCs w:val="24"/>
          <w:lang w:eastAsia="ru-RU"/>
        </w:rPr>
        <w:t xml:space="preserve">В нашей испытательной лаборатории проводились испытания оборудования для целей сертификации и по Российскому техническому регламенту, и по </w:t>
      </w:r>
      <w:proofErr w:type="gramStart"/>
      <w:r w:rsidRPr="00906460">
        <w:rPr>
          <w:rFonts w:ascii="Times New Roman" w:hAnsi="Times New Roman"/>
          <w:sz w:val="24"/>
          <w:szCs w:val="24"/>
          <w:lang w:eastAsia="ru-RU"/>
        </w:rPr>
        <w:t>ТР</w:t>
      </w:r>
      <w:proofErr w:type="gramEnd"/>
      <w:r w:rsidRPr="00906460">
        <w:rPr>
          <w:rFonts w:ascii="Times New Roman" w:hAnsi="Times New Roman"/>
          <w:sz w:val="24"/>
          <w:szCs w:val="24"/>
          <w:lang w:eastAsia="ru-RU"/>
        </w:rPr>
        <w:t xml:space="preserve"> Таможенного союза. При этом я еще ни разу не видел полноценного «Обоснования безопасности», соответствующего требованиям технического регламента и единственного из четырех планируемых ГОСТов по обоснованию безопасности. Кроме того, в известных мне органах по сертификации, уже аккредитованных </w:t>
      </w:r>
      <w:proofErr w:type="spellStart"/>
      <w:r w:rsidRPr="00906460">
        <w:rPr>
          <w:rFonts w:ascii="Times New Roman" w:hAnsi="Times New Roman"/>
          <w:sz w:val="24"/>
          <w:szCs w:val="24"/>
          <w:lang w:eastAsia="ru-RU"/>
        </w:rPr>
        <w:t>Росаккредитацией</w:t>
      </w:r>
      <w:proofErr w:type="spellEnd"/>
      <w:r w:rsidRPr="00906460">
        <w:rPr>
          <w:rFonts w:ascii="Times New Roman" w:hAnsi="Times New Roman"/>
          <w:sz w:val="24"/>
          <w:szCs w:val="24"/>
          <w:lang w:eastAsia="ru-RU"/>
        </w:rPr>
        <w:t>, нет экспертов со специальными знаниями оценки рисков, которые могли бы проверить обоснования безопасности.</w:t>
      </w:r>
    </w:p>
    <w:p w:rsidR="008F2554" w:rsidRPr="00906460" w:rsidRDefault="008F2554" w:rsidP="00ED4CB8">
      <w:pPr>
        <w:spacing w:line="360" w:lineRule="auto"/>
        <w:ind w:firstLine="708"/>
        <w:jc w:val="both"/>
        <w:rPr>
          <w:rFonts w:ascii="Times New Roman" w:hAnsi="Times New Roman"/>
          <w:sz w:val="24"/>
          <w:szCs w:val="24"/>
          <w:lang w:eastAsia="ru-RU"/>
        </w:rPr>
      </w:pPr>
      <w:r w:rsidRPr="00906460">
        <w:rPr>
          <w:rFonts w:ascii="Times New Roman" w:hAnsi="Times New Roman"/>
          <w:sz w:val="24"/>
          <w:szCs w:val="24"/>
          <w:lang w:eastAsia="ru-RU"/>
        </w:rPr>
        <w:t xml:space="preserve">Это говорит о том, что технические регламенты выходят, а страна не готова к их полноценной реализации. В результате новая система подтверждения соответствия опять становится уязвимой для вольностей и </w:t>
      </w:r>
      <w:r w:rsidR="0034158D" w:rsidRPr="00906460">
        <w:rPr>
          <w:rFonts w:ascii="Times New Roman" w:hAnsi="Times New Roman"/>
          <w:sz w:val="24"/>
          <w:szCs w:val="24"/>
          <w:lang w:eastAsia="ru-RU"/>
        </w:rPr>
        <w:t>непрофессионального подхода как</w:t>
      </w:r>
      <w:r w:rsidRPr="00906460">
        <w:rPr>
          <w:rFonts w:ascii="Times New Roman" w:hAnsi="Times New Roman"/>
          <w:sz w:val="24"/>
          <w:szCs w:val="24"/>
          <w:lang w:eastAsia="ru-RU"/>
        </w:rPr>
        <w:t xml:space="preserve"> со стороны изготовителей/поставщиков оборудования, так и со стороны сертификационных органов. Более того, с выходом соответствующих технических регламентов уже отменяются ведомственные правила безопасности, в том числе – правила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При существующем подходе к подтверждению соответствия эти правила, которые были написаны, как говорят кровью, постепенно забудутся и перестанут вообще применяться. Будет ли от этого лучше, большой вопрос. Во всяком </w:t>
      </w:r>
      <w:proofErr w:type="gramStart"/>
      <w:r w:rsidRPr="00906460">
        <w:rPr>
          <w:rFonts w:ascii="Times New Roman" w:hAnsi="Times New Roman"/>
          <w:sz w:val="24"/>
          <w:szCs w:val="24"/>
          <w:lang w:eastAsia="ru-RU"/>
        </w:rPr>
        <w:t>случае</w:t>
      </w:r>
      <w:proofErr w:type="gramEnd"/>
      <w:r w:rsidRPr="00906460">
        <w:rPr>
          <w:rFonts w:ascii="Times New Roman" w:hAnsi="Times New Roman"/>
          <w:sz w:val="24"/>
          <w:szCs w:val="24"/>
          <w:lang w:eastAsia="ru-RU"/>
        </w:rPr>
        <w:t xml:space="preserve"> в других странах Евросоюза национальные правила и стандарты по безопасности не отменяли и это не помешало им пользоваться системой подтверждения соответствия, действующей в Европейском союзе.</w:t>
      </w:r>
    </w:p>
    <w:p w:rsidR="008F2554" w:rsidRPr="00906460" w:rsidRDefault="008F2554" w:rsidP="00ED4CB8">
      <w:pPr>
        <w:spacing w:line="360" w:lineRule="auto"/>
        <w:ind w:firstLine="708"/>
        <w:jc w:val="both"/>
        <w:rPr>
          <w:rFonts w:ascii="Times New Roman" w:hAnsi="Times New Roman"/>
          <w:sz w:val="24"/>
          <w:szCs w:val="24"/>
          <w:lang w:eastAsia="ru-RU"/>
        </w:rPr>
      </w:pPr>
      <w:r w:rsidRPr="00906460">
        <w:rPr>
          <w:rFonts w:ascii="Times New Roman" w:hAnsi="Times New Roman"/>
          <w:sz w:val="24"/>
          <w:szCs w:val="24"/>
          <w:lang w:eastAsia="ru-RU"/>
        </w:rPr>
        <w:lastRenderedPageBreak/>
        <w:t xml:space="preserve">В своей работе мы нашли подходы для устранения или снижения воздействия этих проблем на безопасность оборудования, предназначенного для применения на ОПО. Во-первых, в область аккредитации нашей испытательной лаборатории внесена проверка машин и оборудования на соответствие Правилам промышленной безопасности ПБ14-586-03, которые пока не отменены, а в составе лаборатории работают аттестованные эксперты высшей квалификации по вопросам промышленной безопасности. Это позволяет проводить сертификационные испытания с учетом проверок по правилам ПБ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и отражать результаты проверок в протоколах испытаний. В итоге до начала применения машин и оборудования на ОПО, как это и требуется, устраняются несоответствия Правилам ПБ и основания для претензий надзорных органов на местах применения оборудования.</w:t>
      </w:r>
    </w:p>
    <w:p w:rsidR="008F2554" w:rsidRPr="00906460" w:rsidRDefault="008F2554" w:rsidP="00ED4CB8">
      <w:pPr>
        <w:spacing w:line="360" w:lineRule="auto"/>
        <w:ind w:firstLine="708"/>
        <w:jc w:val="both"/>
        <w:rPr>
          <w:rFonts w:ascii="Times New Roman" w:hAnsi="Times New Roman"/>
          <w:sz w:val="24"/>
          <w:szCs w:val="24"/>
          <w:lang w:eastAsia="ru-RU"/>
        </w:rPr>
      </w:pPr>
      <w:r w:rsidRPr="00906460">
        <w:rPr>
          <w:rFonts w:ascii="Times New Roman" w:hAnsi="Times New Roman"/>
          <w:sz w:val="24"/>
          <w:szCs w:val="24"/>
          <w:lang w:eastAsia="ru-RU"/>
        </w:rPr>
        <w:t xml:space="preserve">Что касается «Обоснования безопасности» мы предлагаем помощь изготовителям оборудования по разработке таких обоснований, от которой </w:t>
      </w:r>
      <w:proofErr w:type="gramStart"/>
      <w:r w:rsidRPr="00906460">
        <w:rPr>
          <w:rFonts w:ascii="Times New Roman" w:hAnsi="Times New Roman"/>
          <w:sz w:val="24"/>
          <w:szCs w:val="24"/>
          <w:lang w:eastAsia="ru-RU"/>
        </w:rPr>
        <w:t>они</w:t>
      </w:r>
      <w:proofErr w:type="gramEnd"/>
      <w:r w:rsidRPr="00906460">
        <w:rPr>
          <w:rFonts w:ascii="Times New Roman" w:hAnsi="Times New Roman"/>
          <w:sz w:val="24"/>
          <w:szCs w:val="24"/>
          <w:lang w:eastAsia="ru-RU"/>
        </w:rPr>
        <w:t xml:space="preserve"> как правило не отказываются, поскольку своих специалистов по анализу и оценке рисков у них нет. Это не противоречит нашему законодательству и соответствует мировой практике: в европейских странах проектировщики и изготовители оборудования чаще всего привлекают для разработки обоснований безопасности специализированные организации, в том числе экспертные.  </w:t>
      </w:r>
    </w:p>
    <w:p w:rsidR="008F2554" w:rsidRPr="00906460" w:rsidRDefault="008F2554" w:rsidP="00ED4CB8">
      <w:pPr>
        <w:spacing w:line="360" w:lineRule="auto"/>
        <w:ind w:firstLine="708"/>
        <w:jc w:val="both"/>
        <w:rPr>
          <w:rFonts w:ascii="Times New Roman" w:hAnsi="Times New Roman"/>
          <w:sz w:val="24"/>
          <w:szCs w:val="24"/>
          <w:lang w:eastAsia="ru-RU"/>
        </w:rPr>
      </w:pPr>
      <w:proofErr w:type="gramStart"/>
      <w:r w:rsidRPr="00906460">
        <w:rPr>
          <w:rFonts w:ascii="Times New Roman" w:hAnsi="Times New Roman"/>
          <w:sz w:val="24"/>
          <w:szCs w:val="24"/>
          <w:lang w:eastAsia="ru-RU"/>
        </w:rPr>
        <w:t xml:space="preserve">Для решения этих вопросов в целом в системе оценки и подтверждения соответствия требованиям технических регламентов считаю целесообразным иметь в составе органов по сертификации и испытательных лабораторий экспертов по промышленной безопасности, аттестованных по линии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а в составе органов по сертификации – экспертов со знанием методов оценки рисков и требований к разработке обоснований безопасности.</w:t>
      </w:r>
      <w:proofErr w:type="gramEnd"/>
      <w:r w:rsidRPr="00906460">
        <w:rPr>
          <w:rFonts w:ascii="Times New Roman" w:hAnsi="Times New Roman"/>
          <w:sz w:val="24"/>
          <w:szCs w:val="24"/>
          <w:lang w:eastAsia="ru-RU"/>
        </w:rPr>
        <w:t xml:space="preserve"> Обучение или повышение квалификации таких экспертов Академия могла бы взять на себя. </w:t>
      </w:r>
    </w:p>
    <w:p w:rsidR="008F2554" w:rsidRPr="00906460" w:rsidRDefault="008F2554" w:rsidP="00ED4CB8">
      <w:pPr>
        <w:spacing w:line="360" w:lineRule="auto"/>
        <w:ind w:firstLine="708"/>
        <w:jc w:val="both"/>
        <w:rPr>
          <w:rFonts w:ascii="Times New Roman" w:hAnsi="Times New Roman"/>
          <w:sz w:val="24"/>
          <w:szCs w:val="24"/>
          <w:lang w:eastAsia="ru-RU"/>
        </w:rPr>
      </w:pPr>
      <w:r w:rsidRPr="00906460">
        <w:rPr>
          <w:rFonts w:ascii="Times New Roman" w:hAnsi="Times New Roman"/>
          <w:sz w:val="24"/>
          <w:szCs w:val="24"/>
          <w:lang w:eastAsia="ru-RU"/>
        </w:rPr>
        <w:t xml:space="preserve">И последнее. Еще раз хочу выразить свое мнение, как эксперта промышленной безопасности с большим стажем. Действующие правила </w:t>
      </w:r>
      <w:proofErr w:type="spellStart"/>
      <w:r w:rsidRPr="00906460">
        <w:rPr>
          <w:rFonts w:ascii="Times New Roman" w:hAnsi="Times New Roman"/>
          <w:sz w:val="24"/>
          <w:szCs w:val="24"/>
          <w:lang w:eastAsia="ru-RU"/>
        </w:rPr>
        <w:t>Ростехнадзора</w:t>
      </w:r>
      <w:proofErr w:type="spellEnd"/>
      <w:r w:rsidRPr="00906460">
        <w:rPr>
          <w:rFonts w:ascii="Times New Roman" w:hAnsi="Times New Roman"/>
          <w:sz w:val="24"/>
          <w:szCs w:val="24"/>
          <w:lang w:eastAsia="ru-RU"/>
        </w:rPr>
        <w:t xml:space="preserve"> не должны отменяться, во всяком </w:t>
      </w:r>
      <w:proofErr w:type="gramStart"/>
      <w:r w:rsidRPr="00906460">
        <w:rPr>
          <w:rFonts w:ascii="Times New Roman" w:hAnsi="Times New Roman"/>
          <w:sz w:val="24"/>
          <w:szCs w:val="24"/>
          <w:lang w:eastAsia="ru-RU"/>
        </w:rPr>
        <w:t>случае</w:t>
      </w:r>
      <w:proofErr w:type="gramEnd"/>
      <w:r w:rsidRPr="00906460">
        <w:rPr>
          <w:rFonts w:ascii="Times New Roman" w:hAnsi="Times New Roman"/>
          <w:sz w:val="24"/>
          <w:szCs w:val="24"/>
          <w:lang w:eastAsia="ru-RU"/>
        </w:rPr>
        <w:t xml:space="preserve"> без адекватной замены нормативными документами Российскими или Таможенного союза. Более того, требования этих правил в части, не дублирующей требования технических регламентов, должны учитываться при разработке «Обоснований безопасности» и при обязательной сертификации или декларировании соответствия машин и оборудования требованиям Технических регламентов.</w:t>
      </w:r>
      <w:bookmarkStart w:id="0" w:name="_GoBack"/>
      <w:bookmarkEnd w:id="0"/>
    </w:p>
    <w:sectPr w:rsidR="008F2554" w:rsidRPr="00906460" w:rsidSect="00C92F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69" w:rsidRDefault="007F1369" w:rsidP="009A7051">
      <w:pPr>
        <w:spacing w:after="0" w:line="240" w:lineRule="auto"/>
      </w:pPr>
      <w:r>
        <w:separator/>
      </w:r>
    </w:p>
  </w:endnote>
  <w:endnote w:type="continuationSeparator" w:id="0">
    <w:p w:rsidR="007F1369" w:rsidRDefault="007F1369" w:rsidP="009A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4" w:rsidRDefault="001F1A15">
    <w:pPr>
      <w:pStyle w:val="a5"/>
      <w:jc w:val="center"/>
    </w:pPr>
    <w:r>
      <w:fldChar w:fldCharType="begin"/>
    </w:r>
    <w:r>
      <w:instrText xml:space="preserve"> PAGE   \* MERGEFORMAT </w:instrText>
    </w:r>
    <w:r>
      <w:fldChar w:fldCharType="separate"/>
    </w:r>
    <w:r w:rsidR="0048486A">
      <w:rPr>
        <w:noProof/>
      </w:rPr>
      <w:t>4</w:t>
    </w:r>
    <w:r>
      <w:rPr>
        <w:noProof/>
      </w:rPr>
      <w:fldChar w:fldCharType="end"/>
    </w:r>
  </w:p>
  <w:p w:rsidR="008F2554" w:rsidRDefault="008F25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69" w:rsidRDefault="007F1369" w:rsidP="009A7051">
      <w:pPr>
        <w:spacing w:after="0" w:line="240" w:lineRule="auto"/>
      </w:pPr>
      <w:r>
        <w:separator/>
      </w:r>
    </w:p>
  </w:footnote>
  <w:footnote w:type="continuationSeparator" w:id="0">
    <w:p w:rsidR="007F1369" w:rsidRDefault="007F1369" w:rsidP="009A7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62A6"/>
    <w:multiLevelType w:val="hybridMultilevel"/>
    <w:tmpl w:val="998C28F6"/>
    <w:lvl w:ilvl="0" w:tplc="B3A66A98">
      <w:start w:val="1"/>
      <w:numFmt w:val="bullet"/>
      <w:lvlText w:val=""/>
      <w:lvlJc w:val="left"/>
      <w:pPr>
        <w:tabs>
          <w:tab w:val="num" w:pos="720"/>
        </w:tabs>
        <w:ind w:left="720" w:hanging="360"/>
      </w:pPr>
      <w:rPr>
        <w:rFonts w:ascii="Wingdings" w:hAnsi="Wingdings" w:hint="default"/>
      </w:rPr>
    </w:lvl>
    <w:lvl w:ilvl="1" w:tplc="E2BCCC62" w:tentative="1">
      <w:start w:val="1"/>
      <w:numFmt w:val="bullet"/>
      <w:lvlText w:val=""/>
      <w:lvlJc w:val="left"/>
      <w:pPr>
        <w:tabs>
          <w:tab w:val="num" w:pos="1440"/>
        </w:tabs>
        <w:ind w:left="1440" w:hanging="360"/>
      </w:pPr>
      <w:rPr>
        <w:rFonts w:ascii="Wingdings" w:hAnsi="Wingdings" w:hint="default"/>
      </w:rPr>
    </w:lvl>
    <w:lvl w:ilvl="2" w:tplc="80223092" w:tentative="1">
      <w:start w:val="1"/>
      <w:numFmt w:val="bullet"/>
      <w:lvlText w:val=""/>
      <w:lvlJc w:val="left"/>
      <w:pPr>
        <w:tabs>
          <w:tab w:val="num" w:pos="2160"/>
        </w:tabs>
        <w:ind w:left="2160" w:hanging="360"/>
      </w:pPr>
      <w:rPr>
        <w:rFonts w:ascii="Wingdings" w:hAnsi="Wingdings" w:hint="default"/>
      </w:rPr>
    </w:lvl>
    <w:lvl w:ilvl="3" w:tplc="A3C8DE12" w:tentative="1">
      <w:start w:val="1"/>
      <w:numFmt w:val="bullet"/>
      <w:lvlText w:val=""/>
      <w:lvlJc w:val="left"/>
      <w:pPr>
        <w:tabs>
          <w:tab w:val="num" w:pos="2880"/>
        </w:tabs>
        <w:ind w:left="2880" w:hanging="360"/>
      </w:pPr>
      <w:rPr>
        <w:rFonts w:ascii="Wingdings" w:hAnsi="Wingdings" w:hint="default"/>
      </w:rPr>
    </w:lvl>
    <w:lvl w:ilvl="4" w:tplc="D4425ED0" w:tentative="1">
      <w:start w:val="1"/>
      <w:numFmt w:val="bullet"/>
      <w:lvlText w:val=""/>
      <w:lvlJc w:val="left"/>
      <w:pPr>
        <w:tabs>
          <w:tab w:val="num" w:pos="3600"/>
        </w:tabs>
        <w:ind w:left="3600" w:hanging="360"/>
      </w:pPr>
      <w:rPr>
        <w:rFonts w:ascii="Wingdings" w:hAnsi="Wingdings" w:hint="default"/>
      </w:rPr>
    </w:lvl>
    <w:lvl w:ilvl="5" w:tplc="D92E374E" w:tentative="1">
      <w:start w:val="1"/>
      <w:numFmt w:val="bullet"/>
      <w:lvlText w:val=""/>
      <w:lvlJc w:val="left"/>
      <w:pPr>
        <w:tabs>
          <w:tab w:val="num" w:pos="4320"/>
        </w:tabs>
        <w:ind w:left="4320" w:hanging="360"/>
      </w:pPr>
      <w:rPr>
        <w:rFonts w:ascii="Wingdings" w:hAnsi="Wingdings" w:hint="default"/>
      </w:rPr>
    </w:lvl>
    <w:lvl w:ilvl="6" w:tplc="FBDAA4CC" w:tentative="1">
      <w:start w:val="1"/>
      <w:numFmt w:val="bullet"/>
      <w:lvlText w:val=""/>
      <w:lvlJc w:val="left"/>
      <w:pPr>
        <w:tabs>
          <w:tab w:val="num" w:pos="5040"/>
        </w:tabs>
        <w:ind w:left="5040" w:hanging="360"/>
      </w:pPr>
      <w:rPr>
        <w:rFonts w:ascii="Wingdings" w:hAnsi="Wingdings" w:hint="default"/>
      </w:rPr>
    </w:lvl>
    <w:lvl w:ilvl="7" w:tplc="90884E72" w:tentative="1">
      <w:start w:val="1"/>
      <w:numFmt w:val="bullet"/>
      <w:lvlText w:val=""/>
      <w:lvlJc w:val="left"/>
      <w:pPr>
        <w:tabs>
          <w:tab w:val="num" w:pos="5760"/>
        </w:tabs>
        <w:ind w:left="5760" w:hanging="360"/>
      </w:pPr>
      <w:rPr>
        <w:rFonts w:ascii="Wingdings" w:hAnsi="Wingdings" w:hint="default"/>
      </w:rPr>
    </w:lvl>
    <w:lvl w:ilvl="8" w:tplc="F29023A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8F2"/>
    <w:rsid w:val="0001740E"/>
    <w:rsid w:val="000C27E1"/>
    <w:rsid w:val="00132200"/>
    <w:rsid w:val="00141129"/>
    <w:rsid w:val="0019722F"/>
    <w:rsid w:val="001F1A15"/>
    <w:rsid w:val="00214F61"/>
    <w:rsid w:val="00257227"/>
    <w:rsid w:val="002A2519"/>
    <w:rsid w:val="002D6CB4"/>
    <w:rsid w:val="0034158D"/>
    <w:rsid w:val="0035414D"/>
    <w:rsid w:val="003B72EE"/>
    <w:rsid w:val="0048486A"/>
    <w:rsid w:val="004B2864"/>
    <w:rsid w:val="004E504D"/>
    <w:rsid w:val="00572C2E"/>
    <w:rsid w:val="00590814"/>
    <w:rsid w:val="005C3B58"/>
    <w:rsid w:val="0063674D"/>
    <w:rsid w:val="00677CCA"/>
    <w:rsid w:val="00782FAF"/>
    <w:rsid w:val="007B56FD"/>
    <w:rsid w:val="007F0E17"/>
    <w:rsid w:val="007F1369"/>
    <w:rsid w:val="007F4678"/>
    <w:rsid w:val="007F7EF4"/>
    <w:rsid w:val="008344FE"/>
    <w:rsid w:val="008376FE"/>
    <w:rsid w:val="00846126"/>
    <w:rsid w:val="00850785"/>
    <w:rsid w:val="008B53FD"/>
    <w:rsid w:val="008D7058"/>
    <w:rsid w:val="008E50FE"/>
    <w:rsid w:val="008F2554"/>
    <w:rsid w:val="008F5528"/>
    <w:rsid w:val="009048F2"/>
    <w:rsid w:val="00906460"/>
    <w:rsid w:val="00916D84"/>
    <w:rsid w:val="00934230"/>
    <w:rsid w:val="009A7051"/>
    <w:rsid w:val="009C7500"/>
    <w:rsid w:val="00A55B2C"/>
    <w:rsid w:val="00A82584"/>
    <w:rsid w:val="00AC37B2"/>
    <w:rsid w:val="00AE324A"/>
    <w:rsid w:val="00AF5B8D"/>
    <w:rsid w:val="00B63442"/>
    <w:rsid w:val="00B7148E"/>
    <w:rsid w:val="00B75EF7"/>
    <w:rsid w:val="00BF3077"/>
    <w:rsid w:val="00C033F6"/>
    <w:rsid w:val="00C50FD9"/>
    <w:rsid w:val="00C5134B"/>
    <w:rsid w:val="00C92F3D"/>
    <w:rsid w:val="00CD760E"/>
    <w:rsid w:val="00D44140"/>
    <w:rsid w:val="00D52811"/>
    <w:rsid w:val="00DF5696"/>
    <w:rsid w:val="00E36F52"/>
    <w:rsid w:val="00E439F3"/>
    <w:rsid w:val="00ED4CB8"/>
    <w:rsid w:val="00EE28BF"/>
    <w:rsid w:val="00F1701D"/>
    <w:rsid w:val="00F32F89"/>
    <w:rsid w:val="00F9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A7051"/>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A7051"/>
    <w:rPr>
      <w:rFonts w:cs="Times New Roman"/>
    </w:rPr>
  </w:style>
  <w:style w:type="paragraph" w:styleId="a5">
    <w:name w:val="footer"/>
    <w:basedOn w:val="a"/>
    <w:link w:val="a6"/>
    <w:uiPriority w:val="99"/>
    <w:rsid w:val="009A7051"/>
    <w:pPr>
      <w:tabs>
        <w:tab w:val="center" w:pos="4677"/>
        <w:tab w:val="right" w:pos="9355"/>
      </w:tabs>
      <w:spacing w:after="0" w:line="240" w:lineRule="auto"/>
    </w:pPr>
  </w:style>
  <w:style w:type="character" w:customStyle="1" w:styleId="a6">
    <w:name w:val="Нижний колонтитул Знак"/>
    <w:link w:val="a5"/>
    <w:uiPriority w:val="99"/>
    <w:locked/>
    <w:rsid w:val="009A70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8805">
      <w:marLeft w:val="0"/>
      <w:marRight w:val="0"/>
      <w:marTop w:val="0"/>
      <w:marBottom w:val="0"/>
      <w:divBdr>
        <w:top w:val="none" w:sz="0" w:space="0" w:color="auto"/>
        <w:left w:val="none" w:sz="0" w:space="0" w:color="auto"/>
        <w:bottom w:val="none" w:sz="0" w:space="0" w:color="auto"/>
        <w:right w:val="none" w:sz="0" w:space="0" w:color="auto"/>
      </w:divBdr>
      <w:divsChild>
        <w:div w:id="137869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2013-03-29T10:34:00Z</dcterms:created>
  <dcterms:modified xsi:type="dcterms:W3CDTF">2013-04-18T14:43:00Z</dcterms:modified>
</cp:coreProperties>
</file>